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both"/>
        <w:rPr>
          <w:rFonts w:ascii="Arial" w:cs="Arial" w:eastAsia="Arial" w:hAnsi="Arial"/>
          <w:sz w:val="25"/>
          <w:szCs w:val="25"/>
        </w:rPr>
      </w:pPr>
      <w:r w:rsidDel="00000000" w:rsidR="00000000" w:rsidRPr="00000000">
        <w:rPr>
          <w:rFonts w:ascii="Arial" w:cs="Arial" w:eastAsia="Arial" w:hAnsi="Arial"/>
          <w:color w:val="000000"/>
          <w:sz w:val="25"/>
          <w:szCs w:val="25"/>
          <w:rtl w:val="0"/>
        </w:rPr>
        <w:t xml:space="preserve">Bucaramanga</w:t>
      </w:r>
      <w:r w:rsidDel="00000000" w:rsidR="00000000" w:rsidRPr="00000000">
        <w:rPr>
          <w:rFonts w:ascii="Arial" w:cs="Arial" w:eastAsia="Arial" w:hAnsi="Arial"/>
          <w:sz w:val="25"/>
          <w:szCs w:val="25"/>
          <w:rtl w:val="0"/>
        </w:rPr>
        <w:t xml:space="preserve">.</w:t>
      </w:r>
    </w:p>
    <w:p w:rsidR="00000000" w:rsidDel="00000000" w:rsidP="00000000" w:rsidRDefault="00000000" w:rsidRPr="00000000" w14:paraId="00000002">
      <w:pPr>
        <w:spacing w:after="0" w:line="240" w:lineRule="auto"/>
        <w:jc w:val="both"/>
        <w:rPr>
          <w:rFonts w:ascii="Arial" w:cs="Arial" w:eastAsia="Arial" w:hAnsi="Arial"/>
          <w:color w:val="000000"/>
          <w:sz w:val="25"/>
          <w:szCs w:val="25"/>
        </w:rPr>
      </w:pPr>
      <w:r w:rsidDel="00000000" w:rsidR="00000000" w:rsidRPr="00000000">
        <w:rPr>
          <w:rtl w:val="0"/>
        </w:rPr>
      </w:r>
    </w:p>
    <w:p w:rsidR="00000000" w:rsidDel="00000000" w:rsidP="00000000" w:rsidRDefault="00000000" w:rsidRPr="00000000" w14:paraId="00000003">
      <w:pPr>
        <w:spacing w:after="0" w:line="240" w:lineRule="auto"/>
        <w:jc w:val="both"/>
        <w:rPr>
          <w:rFonts w:ascii="Arial" w:cs="Arial" w:eastAsia="Arial" w:hAnsi="Arial"/>
          <w:color w:val="000000"/>
          <w:sz w:val="25"/>
          <w:szCs w:val="25"/>
        </w:rPr>
      </w:pPr>
      <w:r w:rsidDel="00000000" w:rsidR="00000000" w:rsidRPr="00000000">
        <w:rPr>
          <w:rtl w:val="0"/>
        </w:rPr>
      </w:r>
    </w:p>
    <w:p w:rsidR="00000000" w:rsidDel="00000000" w:rsidP="00000000" w:rsidRDefault="00000000" w:rsidRPr="00000000" w14:paraId="00000004">
      <w:pPr>
        <w:spacing w:after="0" w:line="240" w:lineRule="auto"/>
        <w:jc w:val="both"/>
        <w:rPr>
          <w:rFonts w:ascii="Arial" w:cs="Arial" w:eastAsia="Arial" w:hAnsi="Arial"/>
          <w:color w:val="000000"/>
          <w:sz w:val="25"/>
          <w:szCs w:val="25"/>
        </w:rPr>
      </w:pPr>
      <w:r w:rsidDel="00000000" w:rsidR="00000000" w:rsidRPr="00000000">
        <w:rPr>
          <w:rFonts w:ascii="Arial" w:cs="Arial" w:eastAsia="Arial" w:hAnsi="Arial"/>
          <w:color w:val="000000"/>
          <w:sz w:val="25"/>
          <w:szCs w:val="25"/>
          <w:rtl w:val="0"/>
        </w:rPr>
        <w:t xml:space="preserve">Señores</w:t>
      </w:r>
    </w:p>
    <w:p w:rsidR="00000000" w:rsidDel="00000000" w:rsidP="00000000" w:rsidRDefault="00000000" w:rsidRPr="00000000" w14:paraId="00000005">
      <w:pPr>
        <w:spacing w:after="0" w:line="240" w:lineRule="auto"/>
        <w:jc w:val="both"/>
        <w:rPr>
          <w:rFonts w:ascii="Arial" w:cs="Arial" w:eastAsia="Arial" w:hAnsi="Arial"/>
          <w:b w:val="1"/>
          <w:bCs w:val="1"/>
          <w:color w:val="000000"/>
          <w:sz w:val="25"/>
          <w:szCs w:val="25"/>
        </w:rPr>
      </w:pPr>
      <w:r w:rsidDel="00000000" w:rsidR="00000000" w:rsidRPr="00000000">
        <w:rPr>
          <w:rFonts w:ascii="Arial" w:cs="Arial" w:eastAsia="Arial" w:hAnsi="Arial"/>
          <w:b w:val="1"/>
          <w:bCs w:val="1"/>
          <w:color w:val="000000"/>
          <w:sz w:val="25"/>
          <w:szCs w:val="25"/>
          <w:rtl w:val="0"/>
        </w:rPr>
        <w:t xml:space="preserve">INSTITUTO COLOMBIANO DEL PETRÓLEO Y ENERGÍAS DE TRANSICIÓN – ECOPETROL S.A.</w:t>
      </w:r>
    </w:p>
    <w:p w:rsidR="00000000" w:rsidDel="00000000" w:rsidP="00000000" w:rsidRDefault="00000000" w:rsidRPr="00000000" w14:paraId="00000006">
      <w:pPr>
        <w:spacing w:after="0" w:line="240" w:lineRule="auto"/>
        <w:jc w:val="both"/>
        <w:rPr>
          <w:rFonts w:ascii="Arial" w:cs="Arial" w:eastAsia="Arial" w:hAnsi="Arial"/>
          <w:color w:val="000000"/>
          <w:sz w:val="25"/>
          <w:szCs w:val="25"/>
        </w:rPr>
      </w:pPr>
      <w:r w:rsidDel="00000000" w:rsidR="00000000" w:rsidRPr="00000000">
        <w:rPr>
          <w:rFonts w:ascii="Arial" w:cs="Arial" w:eastAsia="Arial" w:hAnsi="Arial"/>
          <w:color w:val="000000"/>
          <w:sz w:val="25"/>
          <w:szCs w:val="25"/>
          <w:rtl w:val="0"/>
        </w:rPr>
        <w:t xml:space="preserve">Km 7 Autopista Piedecuesta</w:t>
      </w:r>
    </w:p>
    <w:p w:rsidR="00000000" w:rsidDel="00000000" w:rsidP="00000000" w:rsidRDefault="00000000" w:rsidRPr="00000000" w14:paraId="00000007">
      <w:pPr>
        <w:spacing w:after="0" w:line="240" w:lineRule="auto"/>
        <w:jc w:val="both"/>
        <w:rPr>
          <w:rFonts w:ascii="Arial" w:cs="Arial" w:eastAsia="Arial" w:hAnsi="Arial"/>
          <w:sz w:val="25"/>
          <w:szCs w:val="25"/>
        </w:rPr>
      </w:pPr>
      <w:hyperlink r:id="rId7">
        <w:r w:rsidDel="00000000" w:rsidR="00000000" w:rsidRPr="00000000">
          <w:rPr>
            <w:rFonts w:ascii="Arial" w:cs="Arial" w:eastAsia="Arial" w:hAnsi="Arial"/>
            <w:color w:val="0563c1"/>
            <w:sz w:val="25"/>
            <w:szCs w:val="25"/>
            <w:u w:val="single"/>
            <w:rtl w:val="0"/>
          </w:rPr>
          <w:t xml:space="preserve">francisco.cala@ecopetrol.com.co</w:t>
        </w:r>
      </w:hyperlink>
      <w:r w:rsidDel="00000000" w:rsidR="00000000" w:rsidRPr="00000000">
        <w:rPr>
          <w:rtl w:val="0"/>
        </w:rPr>
      </w:r>
    </w:p>
    <w:p w:rsidR="00000000" w:rsidDel="00000000" w:rsidP="00000000" w:rsidRDefault="00000000" w:rsidRPr="00000000" w14:paraId="00000008">
      <w:pPr>
        <w:spacing w:after="0" w:line="240" w:lineRule="auto"/>
        <w:jc w:val="both"/>
        <w:rPr>
          <w:rFonts w:ascii="Arial" w:cs="Arial" w:eastAsia="Arial" w:hAnsi="Arial"/>
          <w:sz w:val="25"/>
          <w:szCs w:val="25"/>
        </w:rPr>
      </w:pPr>
      <w:r w:rsidDel="00000000" w:rsidR="00000000" w:rsidRPr="00000000">
        <w:rPr>
          <w:rFonts w:ascii="Arial" w:cs="Arial" w:eastAsia="Arial" w:hAnsi="Arial"/>
          <w:color w:val="000000"/>
          <w:sz w:val="25"/>
          <w:szCs w:val="25"/>
          <w:highlight w:val="white"/>
          <w:rtl w:val="0"/>
        </w:rPr>
        <w:t xml:space="preserve">Piedecuesta - Santander</w:t>
      </w:r>
      <w:r w:rsidDel="00000000" w:rsidR="00000000" w:rsidRPr="00000000">
        <w:rPr>
          <w:rtl w:val="0"/>
        </w:rPr>
      </w:r>
    </w:p>
    <w:p w:rsidR="00000000" w:rsidDel="00000000" w:rsidP="00000000" w:rsidRDefault="00000000" w:rsidRPr="00000000" w14:paraId="00000009">
      <w:pPr>
        <w:spacing w:after="0" w:line="240" w:lineRule="auto"/>
        <w:ind w:left="1133" w:hanging="1133"/>
        <w:jc w:val="both"/>
        <w:rPr>
          <w:rFonts w:ascii="Arial" w:cs="Arial" w:eastAsia="Arial" w:hAnsi="Arial"/>
          <w:b w:val="1"/>
          <w:bCs w:val="1"/>
          <w:color w:val="000000"/>
          <w:sz w:val="25"/>
          <w:szCs w:val="25"/>
        </w:rPr>
      </w:pPr>
      <w:r w:rsidDel="00000000" w:rsidR="00000000" w:rsidRPr="00000000">
        <w:rPr>
          <w:rtl w:val="0"/>
        </w:rPr>
      </w:r>
    </w:p>
    <w:p w:rsidR="00000000" w:rsidDel="00000000" w:rsidP="00000000" w:rsidRDefault="00000000" w:rsidRPr="00000000" w14:paraId="0000000A">
      <w:pPr>
        <w:spacing w:after="0" w:line="240" w:lineRule="auto"/>
        <w:ind w:left="1133" w:hanging="1133"/>
        <w:jc w:val="both"/>
        <w:rPr>
          <w:rFonts w:ascii="Arial" w:cs="Arial" w:eastAsia="Arial" w:hAnsi="Arial"/>
          <w:b w:val="1"/>
          <w:bCs w:val="1"/>
          <w:color w:val="000000"/>
          <w:sz w:val="25"/>
          <w:szCs w:val="25"/>
        </w:rPr>
      </w:pPr>
      <w:r w:rsidDel="00000000" w:rsidR="00000000" w:rsidRPr="00000000">
        <w:rPr>
          <w:rtl w:val="0"/>
        </w:rPr>
      </w:r>
    </w:p>
    <w:p w:rsidR="00000000" w:rsidDel="00000000" w:rsidP="00000000" w:rsidRDefault="00000000" w:rsidRPr="00000000" w14:paraId="0000000B">
      <w:pPr>
        <w:spacing w:after="0" w:line="240" w:lineRule="auto"/>
        <w:ind w:left="1133" w:hanging="1133"/>
        <w:jc w:val="both"/>
        <w:rPr>
          <w:rFonts w:ascii="Arial" w:cs="Arial" w:eastAsia="Arial" w:hAnsi="Arial"/>
          <w:sz w:val="25"/>
          <w:szCs w:val="25"/>
        </w:rPr>
      </w:pPr>
      <w:bookmarkStart w:colFirst="0" w:colLast="0" w:name="_heading=h.c17fxsn8ftp3" w:id="0"/>
      <w:bookmarkEnd w:id="0"/>
      <w:r w:rsidDel="00000000" w:rsidR="00000000" w:rsidRPr="00000000">
        <w:rPr>
          <w:rFonts w:ascii="Arial" w:cs="Arial" w:eastAsia="Arial" w:hAnsi="Arial"/>
          <w:b w:val="1"/>
          <w:bCs w:val="1"/>
          <w:color w:val="000000"/>
          <w:sz w:val="25"/>
          <w:szCs w:val="25"/>
          <w:rtl w:val="0"/>
        </w:rPr>
        <w:t xml:space="preserve">Asunto: </w:t>
        <w:tab/>
      </w:r>
      <w:r w:rsidDel="00000000" w:rsidR="00000000" w:rsidRPr="00000000">
        <w:rPr>
          <w:rFonts w:ascii="Arial" w:cs="Arial" w:eastAsia="Arial" w:hAnsi="Arial"/>
          <w:color w:val="000000"/>
          <w:sz w:val="25"/>
          <w:szCs w:val="25"/>
          <w:rtl w:val="0"/>
        </w:rPr>
        <w:t xml:space="preserve">Requerimiento de información técnica, aclaración de inventario y registro en el Inventario Nacional de PCB – Resoluciones No. 222 de 2011 y 1741 de 2016.</w:t>
      </w:r>
      <w:r w:rsidDel="00000000" w:rsidR="00000000" w:rsidRPr="00000000">
        <w:rPr>
          <w:rtl w:val="0"/>
        </w:rPr>
      </w:r>
    </w:p>
    <w:p w:rsidR="00000000" w:rsidDel="00000000" w:rsidP="00000000" w:rsidRDefault="00000000" w:rsidRPr="00000000" w14:paraId="0000000C">
      <w:pPr>
        <w:spacing w:after="0" w:line="240" w:lineRule="auto"/>
        <w:jc w:val="both"/>
        <w:rPr>
          <w:rFonts w:ascii="Arial" w:cs="Arial" w:eastAsia="Arial" w:hAnsi="Arial"/>
          <w:sz w:val="25"/>
          <w:szCs w:val="25"/>
        </w:rPr>
      </w:pPr>
      <w:r w:rsidDel="00000000" w:rsidR="00000000" w:rsidRPr="00000000">
        <w:rPr>
          <w:rtl w:val="0"/>
        </w:rPr>
      </w:r>
    </w:p>
    <w:p w:rsidR="00000000" w:rsidDel="00000000" w:rsidP="00000000" w:rsidRDefault="00000000" w:rsidRPr="00000000" w14:paraId="0000000D">
      <w:pPr>
        <w:spacing w:after="0"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br w:type="textWrapping"/>
        <w:t xml:space="preserve">La Corporación Autónoma Regional para la Defensa de la Meseta de Bucaramanga (CDMB), en ejercicio de sus funciones de evaluación, control y seguimiento ambiental, y en concordancia con su política de calidad y celeridad en los trámites legales, se permite dirigirse a usted con el fin de requerir información técnica detallada relacionada con los equipos de transformación eléctrica bajo su propiedad.</w:t>
      </w:r>
    </w:p>
    <w:p w:rsidR="00000000" w:rsidDel="00000000" w:rsidP="00000000" w:rsidRDefault="00000000" w:rsidRPr="00000000" w14:paraId="0000000E">
      <w:pPr>
        <w:spacing w:after="0" w:line="240" w:lineRule="auto"/>
        <w:jc w:val="both"/>
        <w:rPr>
          <w:rFonts w:ascii="Arial" w:cs="Arial" w:eastAsia="Arial" w:hAnsi="Arial"/>
          <w:sz w:val="25"/>
          <w:szCs w:val="25"/>
        </w:rPr>
      </w:pPr>
      <w:r w:rsidDel="00000000" w:rsidR="00000000" w:rsidRPr="00000000">
        <w:rPr>
          <w:rtl w:val="0"/>
        </w:rPr>
      </w:r>
    </w:p>
    <w:p w:rsidR="00000000" w:rsidDel="00000000" w:rsidP="00000000" w:rsidRDefault="00000000" w:rsidRPr="00000000" w14:paraId="0000000F">
      <w:pPr>
        <w:spacing w:after="0"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Como resultado del cruce de información entre las bases de datos de terceros suministradas por la Electrificadora de Santander (ESSA) y la inspección técnica de campo realizada por la CDMB el pasado 16 de abril de 2026 en las instalaciones del Instituto Colombiano del Petróleo y Energía de Transición, se identificaron las siguientes novedades:</w:t>
      </w:r>
    </w:p>
    <w:p w:rsidR="00000000" w:rsidDel="00000000" w:rsidP="00000000" w:rsidRDefault="00000000" w:rsidRPr="00000000" w14:paraId="00000010">
      <w:pPr>
        <w:spacing w:after="0" w:line="240" w:lineRule="auto"/>
        <w:jc w:val="both"/>
        <w:rPr>
          <w:rFonts w:ascii="Arial" w:cs="Arial" w:eastAsia="Arial" w:hAnsi="Arial"/>
          <w:sz w:val="25"/>
          <w:szCs w:val="25"/>
        </w:rPr>
      </w:pPr>
      <w:r w:rsidDel="00000000" w:rsidR="00000000" w:rsidRPr="00000000">
        <w:rPr>
          <w:rtl w:val="0"/>
        </w:rPr>
      </w:r>
    </w:p>
    <w:p w:rsidR="00000000" w:rsidDel="00000000" w:rsidP="00000000" w:rsidRDefault="00000000" w:rsidRPr="00000000" w14:paraId="00000011">
      <w:pPr>
        <w:spacing w:after="0"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No fue posible ubicar físicamente el transformador identificado con el N.° 5714, el cual aparece registrado en la base de datos de terceros. No obstante, se evidenció la existencia de otros equipos de transformación en operación que no se encuentran reportados en dicha base.</w:t>
      </w:r>
    </w:p>
    <w:p w:rsidR="00000000" w:rsidDel="00000000" w:rsidP="00000000" w:rsidRDefault="00000000" w:rsidRPr="00000000" w14:paraId="00000012">
      <w:pPr>
        <w:spacing w:after="0" w:line="240" w:lineRule="auto"/>
        <w:jc w:val="both"/>
        <w:rPr>
          <w:rFonts w:ascii="Arial" w:cs="Arial" w:eastAsia="Arial" w:hAnsi="Arial"/>
          <w:sz w:val="25"/>
          <w:szCs w:val="25"/>
        </w:rPr>
      </w:pPr>
      <w:r w:rsidDel="00000000" w:rsidR="00000000" w:rsidRPr="00000000">
        <w:rPr>
          <w:rtl w:val="0"/>
        </w:rPr>
      </w:r>
    </w:p>
    <w:p w:rsidR="00000000" w:rsidDel="00000000" w:rsidP="00000000" w:rsidRDefault="00000000" w:rsidRPr="00000000" w14:paraId="00000013">
      <w:pPr>
        <w:spacing w:after="0"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Adicionalmente, al verificar el aplicativo del Inventario Nacional de PCB administrado por el IDEAM, se constató que, si bien el INSTITUTO COLOMBIANO DEL PETRÓLEO Y ENERGÍA DE TRANSICIÓN - ECOPETROL S.A. (NIT 899999068) se encuentra registrado ante la Corporación Autónoma Regional de Cundinamarca (CAR) en el departamento de Bogotá D.C., no registra inscripción ni reporte de los transformadores de su propiedad ubicados dentro de la jurisdicción de la CDMB.</w:t>
      </w:r>
    </w:p>
    <w:p w:rsidR="00000000" w:rsidDel="00000000" w:rsidP="00000000" w:rsidRDefault="00000000" w:rsidRPr="00000000" w14:paraId="00000014">
      <w:pPr>
        <w:spacing w:after="0"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Al verificar el aplicativo del Inventario Nacional de PCB administrado por el IDEAM, se constató que, si bien el INSTITUTO COLOMBIANO DEL PETRÓLEO Y ENERGÍA DE TRANSICIÓN - ECOPETROL S.A. (NIT 899999068) se encuentra registrado ante la Corporación Autónoma Regional de Cundinamarca (CAR) en el Departamento de Bogotá D.C., no registra ninguna inscripción ni inventario de los transformadores de su propiedad ubicados en el área de jurisdicción de la CDMB. </w:t>
      </w:r>
    </w:p>
    <w:p w:rsidR="00000000" w:rsidDel="00000000" w:rsidP="00000000" w:rsidRDefault="00000000" w:rsidRPr="00000000" w14:paraId="00000015">
      <w:pPr>
        <w:spacing w:after="0" w:line="240" w:lineRule="auto"/>
        <w:jc w:val="both"/>
        <w:rPr>
          <w:rFonts w:ascii="Arial" w:cs="Arial" w:eastAsia="Arial" w:hAnsi="Arial"/>
          <w:sz w:val="25"/>
          <w:szCs w:val="25"/>
        </w:rPr>
      </w:pPr>
      <w:r w:rsidDel="00000000" w:rsidR="00000000" w:rsidRPr="00000000">
        <w:rPr>
          <w:rtl w:val="0"/>
        </w:rPr>
      </w:r>
    </w:p>
    <w:p w:rsidR="00000000" w:rsidDel="00000000" w:rsidP="00000000" w:rsidRDefault="00000000" w:rsidRPr="00000000" w14:paraId="00000016">
      <w:pPr>
        <w:spacing w:after="0"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Esta situación constituye un incumplimiento de lo establecido en la Resolución MADS No. 222 de 2011, la cual obliga a los propietarios a declarar la totalidad de sus equipos en la jurisdicción donde estos se encuentren físicamente. En consecuencia, la CDMB requiere que, en un plazo no mayor a treinta (30) días calendario contados a partir de la recepción de la presente comunicación, se proceda a:</w:t>
      </w:r>
    </w:p>
    <w:p w:rsidR="00000000" w:rsidDel="00000000" w:rsidP="00000000" w:rsidRDefault="00000000" w:rsidRPr="00000000" w14:paraId="00000017">
      <w:pPr>
        <w:spacing w:after="0" w:line="240" w:lineRule="auto"/>
        <w:jc w:val="both"/>
        <w:rPr>
          <w:rFonts w:ascii="Arial" w:cs="Arial" w:eastAsia="Arial" w:hAnsi="Arial"/>
          <w:sz w:val="25"/>
          <w:szCs w:val="25"/>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
          <w:szCs w:val="25"/>
          <w:u w:val="none"/>
          <w:shd w:fill="auto" w:val="clear"/>
          <w:vertAlign w:val="baseline"/>
          <w:rtl w:val="0"/>
        </w:rPr>
        <w:t xml:space="preserve">Actualizar la inscripción en el aplicativo del IDEAM, realizando el registro de los activos correspondientes a la jurisdicción de la CDMB, asegurando que la totalidad de los transformadores de su propiedad sean reportados formalmente. La actualización podrá efectuarse a través del siguiente enlace </w:t>
      </w:r>
      <w:hyperlink r:id="rId8">
        <w:r w:rsidDel="00000000" w:rsidR="00000000" w:rsidRPr="00000000">
          <w:rPr>
            <w:rFonts w:ascii="Arial" w:cs="Arial" w:eastAsia="Arial" w:hAnsi="Arial"/>
            <w:b w:val="0"/>
            <w:bCs w:val="0"/>
            <w:i w:val="0"/>
            <w:iCs w:val="0"/>
            <w:smallCaps w:val="0"/>
            <w:strike w:val="0"/>
            <w:color w:val="0563c1"/>
            <w:sz w:val="25"/>
            <w:szCs w:val="25"/>
            <w:u w:val="single"/>
            <w:shd w:fill="auto" w:val="clear"/>
            <w:vertAlign w:val="baseline"/>
            <w:rtl w:val="0"/>
          </w:rPr>
          <w:t xml:space="preserve">Inventario de PCB - Inicio (ideam.gov.co)</w:t>
        </w:r>
      </w:hyperlink>
      <w:r w:rsidDel="00000000" w:rsidR="00000000" w:rsidRPr="00000000">
        <w:rPr>
          <w:rFonts w:ascii="Arial" w:cs="Arial" w:eastAsia="Arial" w:hAnsi="Arial"/>
          <w:b w:val="0"/>
          <w:bCs w:val="0"/>
          <w:i w:val="0"/>
          <w:iCs w:val="0"/>
          <w:smallCaps w:val="0"/>
          <w:strike w:val="0"/>
          <w:color w:val="000000"/>
          <w:sz w:val="25"/>
          <w:szCs w:val="25"/>
          <w:u w:val="none"/>
          <w:shd w:fill="auto" w:val="clear"/>
          <w:vertAlign w:val="baseline"/>
          <w:rtl w:val="0"/>
        </w:rPr>
        <w:t xml:space="preserv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
          <w:szCs w:val="25"/>
          <w:u w:val="none"/>
          <w:shd w:fill="auto" w:val="clear"/>
          <w:vertAlign w:val="baseline"/>
          <w:rtl w:val="0"/>
        </w:rPr>
        <w:t xml:space="preserve">Aclarar el estado del equipo N.° 5714, indicando su condición actual y ubicación. En caso de que haya sido retirado o dispuesto, deberá allegar los soportes documentales que acrediten su disposición final.</w:t>
      </w:r>
    </w:p>
    <w:p w:rsidR="00000000" w:rsidDel="00000000" w:rsidP="00000000" w:rsidRDefault="00000000" w:rsidRPr="00000000" w14:paraId="0000001B">
      <w:pPr>
        <w:spacing w:after="0" w:line="240" w:lineRule="auto"/>
        <w:jc w:val="both"/>
        <w:rPr>
          <w:rFonts w:ascii="Arial" w:cs="Arial" w:eastAsia="Arial" w:hAnsi="Arial"/>
          <w:color w:val="000000"/>
          <w:sz w:val="25"/>
          <w:szCs w:val="25"/>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
          <w:szCs w:val="25"/>
          <w:u w:val="none"/>
          <w:shd w:fill="auto" w:val="clear"/>
          <w:vertAlign w:val="baseline"/>
          <w:rtl w:val="0"/>
        </w:rPr>
        <w:t xml:space="preserve">Remitir los soportes técnicos correspondientes a los certificados de análisis de laboratorio que acrediten la concentración de PCB (en ppm) de los equipos en operación.</w:t>
      </w:r>
    </w:p>
    <w:p w:rsidR="00000000" w:rsidDel="00000000" w:rsidP="00000000" w:rsidRDefault="00000000" w:rsidRPr="00000000" w14:paraId="0000001D">
      <w:pPr>
        <w:spacing w:after="0" w:line="240" w:lineRule="auto"/>
        <w:jc w:val="both"/>
        <w:rPr>
          <w:rFonts w:ascii="Arial" w:cs="Arial" w:eastAsia="Arial" w:hAnsi="Arial"/>
          <w:color w:val="000000"/>
          <w:sz w:val="25"/>
          <w:szCs w:val="25"/>
        </w:rPr>
      </w:pPr>
      <w:r w:rsidDel="00000000" w:rsidR="00000000" w:rsidRPr="00000000">
        <w:rPr>
          <w:rtl w:val="0"/>
        </w:rPr>
      </w:r>
    </w:p>
    <w:p w:rsidR="00000000" w:rsidDel="00000000" w:rsidP="00000000" w:rsidRDefault="00000000" w:rsidRPr="00000000" w14:paraId="0000001E">
      <w:pPr>
        <w:spacing w:line="240" w:lineRule="auto"/>
        <w:jc w:val="both"/>
        <w:rPr>
          <w:rFonts w:ascii="Arial" w:cs="Arial" w:eastAsia="Arial" w:hAnsi="Arial"/>
          <w:color w:val="000000"/>
          <w:sz w:val="25"/>
          <w:szCs w:val="25"/>
        </w:rPr>
      </w:pPr>
      <w:r w:rsidDel="00000000" w:rsidR="00000000" w:rsidRPr="00000000">
        <w:rPr>
          <w:rFonts w:ascii="Arial" w:cs="Arial" w:eastAsia="Arial" w:hAnsi="Arial"/>
          <w:color w:val="000000"/>
          <w:sz w:val="25"/>
          <w:szCs w:val="25"/>
          <w:rtl w:val="0"/>
        </w:rPr>
        <w:t xml:space="preserve">Se advierte que el incumplimiento de este requerimiento podrá dar lugar al inicio de un proceso sancionatorio ambiental, conforme a lo establecido en la Ley 1333 de 2009 y en el régimen procedimental actualizado por la Ley 2387 de 2024.</w:t>
      </w:r>
    </w:p>
    <w:p w:rsidR="00000000" w:rsidDel="00000000" w:rsidP="00000000" w:rsidRDefault="00000000" w:rsidRPr="00000000" w14:paraId="0000001F">
      <w:pPr>
        <w:spacing w:line="240" w:lineRule="auto"/>
        <w:jc w:val="both"/>
        <w:rPr>
          <w:rFonts w:ascii="Arial" w:cs="Arial" w:eastAsia="Arial" w:hAnsi="Arial"/>
          <w:color w:val="000000"/>
          <w:sz w:val="25"/>
          <w:szCs w:val="25"/>
        </w:rPr>
      </w:pPr>
      <w:r w:rsidDel="00000000" w:rsidR="00000000" w:rsidRPr="00000000">
        <w:rPr>
          <w:rFonts w:ascii="Arial" w:cs="Arial" w:eastAsia="Arial" w:hAnsi="Arial"/>
          <w:color w:val="000000"/>
          <w:sz w:val="25"/>
          <w:szCs w:val="25"/>
          <w:rtl w:val="0"/>
        </w:rPr>
        <w:t xml:space="preserve">Adicionalmente, se recuerda que, en calidad de propietario, deberá diligenciar y actualizar anualmente la información requerida en el Inventario Nacional de PCB, dentro de los plazos establecidos en el artículo 16 de la Resolución 222 de 2011, modificado por el artículo 4 de la Resolución 1741 de 2016, teniendo en cuenta las actualizaciones vigentes para el reporte anual.</w:t>
      </w:r>
    </w:p>
    <w:p w:rsidR="00000000" w:rsidDel="00000000" w:rsidP="00000000" w:rsidRDefault="00000000" w:rsidRPr="00000000" w14:paraId="00000020">
      <w:pPr>
        <w:spacing w:line="240" w:lineRule="auto"/>
        <w:jc w:val="both"/>
        <w:rPr>
          <w:rFonts w:ascii="Arial" w:cs="Arial" w:eastAsia="Arial" w:hAnsi="Arial"/>
          <w:color w:val="000000"/>
          <w:sz w:val="25"/>
          <w:szCs w:val="25"/>
        </w:rPr>
      </w:pPr>
      <w:r w:rsidDel="00000000" w:rsidR="00000000" w:rsidRPr="00000000">
        <w:rPr>
          <w:rFonts w:ascii="Arial" w:cs="Arial" w:eastAsia="Arial" w:hAnsi="Arial"/>
          <w:color w:val="000000"/>
          <w:sz w:val="25"/>
          <w:szCs w:val="25"/>
          <w:rtl w:val="0"/>
        </w:rPr>
        <w:t xml:space="preserve">Asimismo, deberá identificar, clasificar y marcar el inventario de equipos conforme a lo establecido en el capítulo II de la Resolución 222 de 2011, siguiendo el procedimiento definido en los artículos 4, 5, 7 y 8, en concordancia con las directrices técnicas de la Resolución 1741 de 2016. Una vez realizada la etapa de identificación, deberá comprobar y acreditar dicha información ante la autoridad ambiental competente.</w:t>
      </w:r>
    </w:p>
    <w:p w:rsidR="00000000" w:rsidDel="00000000" w:rsidP="00000000" w:rsidRDefault="00000000" w:rsidRPr="00000000" w14:paraId="00000021">
      <w:pPr>
        <w:spacing w:after="280" w:before="280" w:line="240" w:lineRule="auto"/>
        <w:jc w:val="both"/>
        <w:rPr>
          <w:rFonts w:ascii="Arial" w:cs="Arial" w:eastAsia="Arial" w:hAnsi="Arial"/>
          <w:color w:val="000000"/>
          <w:sz w:val="25"/>
          <w:szCs w:val="25"/>
        </w:rPr>
      </w:pPr>
      <w:r w:rsidDel="00000000" w:rsidR="00000000" w:rsidRPr="00000000">
        <w:rPr>
          <w:rFonts w:ascii="Arial" w:cs="Arial" w:eastAsia="Arial" w:hAnsi="Arial"/>
          <w:color w:val="000000"/>
          <w:sz w:val="25"/>
          <w:szCs w:val="25"/>
          <w:rtl w:val="0"/>
        </w:rPr>
        <w:t xml:space="preserve">La CDMB, en cumplimiento de su responsabilidad de garantizar la gestión segura de los PCB, resalta la importancia del compromiso de los propietarios de estos equipos, dado que su adecuado control es fundamental para prevenir riesgos de contaminación ambiental y afectaciones a la salud pública. La ausencia de información dificulta las labores de seguimiento y control, lo cual puede generar impactos negativos en el entorno natural.</w:t>
      </w:r>
    </w:p>
    <w:p w:rsidR="00000000" w:rsidDel="00000000" w:rsidP="00000000" w:rsidRDefault="00000000" w:rsidRPr="00000000" w14:paraId="00000022">
      <w:pPr>
        <w:spacing w:after="280" w:before="280" w:line="240" w:lineRule="auto"/>
        <w:jc w:val="both"/>
        <w:rPr>
          <w:rFonts w:ascii="Arial" w:cs="Arial" w:eastAsia="Arial" w:hAnsi="Arial"/>
          <w:color w:val="000000"/>
          <w:sz w:val="25"/>
          <w:szCs w:val="25"/>
        </w:rPr>
      </w:pPr>
      <w:r w:rsidDel="00000000" w:rsidR="00000000" w:rsidRPr="00000000">
        <w:rPr>
          <w:rFonts w:ascii="Arial" w:cs="Arial" w:eastAsia="Arial" w:hAnsi="Arial"/>
          <w:color w:val="000000"/>
          <w:sz w:val="25"/>
          <w:szCs w:val="25"/>
          <w:rtl w:val="0"/>
        </w:rPr>
        <w:t xml:space="preserve">Cualquier duda o inquietud con gusto será atendida en nuestros canales de comunicación institucionales: ventanilla única localizada en la carrera 23 No 37 - 63 Bucaramanga horario de atención 7:30 - 11:45 a.m. y 2:00 - 5:30 p.m. o al correo electrónico institucional </w:t>
      </w:r>
      <w:hyperlink r:id="rId9">
        <w:r w:rsidDel="00000000" w:rsidR="00000000" w:rsidRPr="00000000">
          <w:rPr>
            <w:rFonts w:ascii="Arial" w:cs="Arial" w:eastAsia="Arial" w:hAnsi="Arial"/>
            <w:color w:val="000000"/>
            <w:sz w:val="25"/>
            <w:szCs w:val="25"/>
            <w:u w:val="single"/>
            <w:rtl w:val="0"/>
          </w:rPr>
          <w:t xml:space="preserve">info@cdmb.gov.co</w:t>
        </w:r>
      </w:hyperlink>
      <w:r w:rsidDel="00000000" w:rsidR="00000000" w:rsidRPr="00000000">
        <w:rPr>
          <w:rFonts w:ascii="Arial" w:cs="Arial" w:eastAsia="Arial" w:hAnsi="Arial"/>
          <w:color w:val="000000"/>
          <w:sz w:val="25"/>
          <w:szCs w:val="25"/>
          <w:rtl w:val="0"/>
        </w:rPr>
        <w:t xml:space="preserve">  PBX: (607) 6970241- Línea Gratuita: 018000180527.</w:t>
      </w:r>
    </w:p>
    <w:p w:rsidR="00000000" w:rsidDel="00000000" w:rsidP="00000000" w:rsidRDefault="00000000" w:rsidRPr="00000000" w14:paraId="00000023">
      <w:pPr>
        <w:spacing w:after="0" w:line="240" w:lineRule="auto"/>
        <w:jc w:val="both"/>
        <w:rPr>
          <w:rFonts w:ascii="Arial" w:cs="Arial" w:eastAsia="Arial" w:hAnsi="Arial"/>
          <w:color w:val="000000"/>
          <w:sz w:val="25"/>
          <w:szCs w:val="25"/>
        </w:rPr>
      </w:pPr>
      <w:r w:rsidDel="00000000" w:rsidR="00000000" w:rsidRPr="00000000">
        <w:rPr>
          <w:rFonts w:ascii="Arial" w:cs="Arial" w:eastAsia="Arial" w:hAnsi="Arial"/>
          <w:color w:val="000000"/>
          <w:sz w:val="25"/>
          <w:szCs w:val="25"/>
          <w:rtl w:val="0"/>
        </w:rPr>
        <w:t xml:space="preserve">Atentamente.</w:t>
      </w:r>
    </w:p>
    <w:p w:rsidR="00000000" w:rsidDel="00000000" w:rsidP="00000000" w:rsidRDefault="00000000" w:rsidRPr="00000000" w14:paraId="00000024">
      <w:pPr>
        <w:spacing w:after="240" w:line="240" w:lineRule="auto"/>
        <w:rPr>
          <w:rFonts w:ascii="Arial" w:cs="Arial" w:eastAsia="Arial" w:hAnsi="Arial"/>
          <w:sz w:val="25"/>
          <w:szCs w:val="25"/>
        </w:rPr>
      </w:pPr>
      <w:r w:rsidDel="00000000" w:rsidR="00000000" w:rsidRPr="00000000">
        <w:rPr>
          <w:rFonts w:ascii="Arial" w:cs="Arial" w:eastAsia="Arial" w:hAnsi="Arial"/>
          <w:sz w:val="25"/>
          <w:szCs w:val="25"/>
          <w:rtl w:val="0"/>
        </w:rPr>
        <w:br w:type="textWrapping"/>
      </w:r>
    </w:p>
    <w:p w:rsidR="00000000" w:rsidDel="00000000" w:rsidP="00000000" w:rsidRDefault="00000000" w:rsidRPr="00000000" w14:paraId="00000025">
      <w:pPr>
        <w:spacing w:after="240" w:line="240" w:lineRule="auto"/>
        <w:rPr>
          <w:rFonts w:ascii="Arial" w:cs="Arial" w:eastAsia="Arial" w:hAnsi="Arial"/>
          <w:sz w:val="25"/>
          <w:szCs w:val="25"/>
        </w:rPr>
      </w:pPr>
      <w:r w:rsidDel="00000000" w:rsidR="00000000" w:rsidRPr="00000000">
        <w:rPr>
          <w:rtl w:val="0"/>
        </w:rPr>
      </w:r>
    </w:p>
    <w:p w:rsidR="00000000" w:rsidDel="00000000" w:rsidP="00000000" w:rsidRDefault="00000000" w:rsidRPr="00000000" w14:paraId="00000026">
      <w:pPr>
        <w:spacing w:after="0" w:line="240" w:lineRule="auto"/>
        <w:jc w:val="both"/>
        <w:rPr>
          <w:rFonts w:ascii="Arial" w:cs="Arial" w:eastAsia="Arial" w:hAnsi="Arial"/>
          <w:sz w:val="25"/>
          <w:szCs w:val="25"/>
        </w:rPr>
      </w:pPr>
      <w:r w:rsidDel="00000000" w:rsidR="00000000" w:rsidRPr="00000000">
        <w:rPr>
          <w:rtl w:val="0"/>
        </w:rPr>
      </w:r>
    </w:p>
    <w:p w:rsidR="00000000" w:rsidDel="00000000" w:rsidP="00000000" w:rsidRDefault="00000000" w:rsidRPr="00000000" w14:paraId="00000027">
      <w:pPr>
        <w:tabs>
          <w:tab w:val="left" w:leader="none" w:pos="8340"/>
        </w:tabs>
        <w:spacing w:after="0" w:line="240" w:lineRule="auto"/>
        <w:jc w:val="both"/>
        <w:rPr>
          <w:rFonts w:ascii="Arial" w:cs="Arial" w:eastAsia="Arial" w:hAnsi="Arial"/>
          <w:b w:val="1"/>
          <w:bCs w:val="1"/>
          <w:sz w:val="25"/>
          <w:szCs w:val="25"/>
        </w:rPr>
      </w:pPr>
      <w:r w:rsidDel="00000000" w:rsidR="00000000" w:rsidRPr="00000000">
        <w:rPr>
          <w:rFonts w:ascii="Arial" w:cs="Arial" w:eastAsia="Arial" w:hAnsi="Arial"/>
          <w:b w:val="1"/>
          <w:bCs w:val="1"/>
          <w:sz w:val="24"/>
          <w:szCs w:val="24"/>
          <w:rtl w:val="0"/>
        </w:rPr>
        <w:t xml:space="preserve">Nelson Andrés Chang Pérez</w:t>
      </w:r>
      <w:r w:rsidDel="00000000" w:rsidR="00000000" w:rsidRPr="00000000">
        <w:rPr>
          <w:rFonts w:ascii="Arial" w:cs="Arial" w:eastAsia="Arial" w:hAnsi="Arial"/>
          <w:b w:val="1"/>
          <w:bCs w:val="1"/>
          <w:sz w:val="25"/>
          <w:szCs w:val="25"/>
          <w:rtl w:val="0"/>
        </w:rPr>
        <w:tab/>
      </w:r>
    </w:p>
    <w:p w:rsidR="00000000" w:rsidDel="00000000" w:rsidP="00000000" w:rsidRDefault="00000000" w:rsidRPr="00000000" w14:paraId="00000028">
      <w:pPr>
        <w:spacing w:after="0" w:line="240" w:lineRule="auto"/>
        <w:jc w:val="both"/>
        <w:rPr>
          <w:rFonts w:ascii="Arial" w:cs="Arial" w:eastAsia="Arial" w:hAnsi="Arial"/>
          <w:b w:val="1"/>
          <w:bCs w:val="1"/>
          <w:sz w:val="25"/>
          <w:szCs w:val="25"/>
        </w:rPr>
      </w:pPr>
      <w:r w:rsidDel="00000000" w:rsidR="00000000" w:rsidRPr="00000000">
        <w:rPr>
          <w:rFonts w:ascii="Arial" w:cs="Arial" w:eastAsia="Arial" w:hAnsi="Arial"/>
          <w:sz w:val="25"/>
          <w:szCs w:val="25"/>
          <w:rtl w:val="0"/>
        </w:rPr>
        <w:t xml:space="preserve">Subdirector de Evaluación y Control Ambiental (E)</w:t>
      </w:r>
      <w:r w:rsidDel="00000000" w:rsidR="00000000" w:rsidRPr="00000000">
        <w:rPr>
          <w:rtl w:val="0"/>
        </w:rPr>
      </w:r>
    </w:p>
    <w:p w:rsidR="00000000" w:rsidDel="00000000" w:rsidP="00000000" w:rsidRDefault="00000000" w:rsidRPr="00000000" w14:paraId="00000029">
      <w:pPr>
        <w:spacing w:after="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A">
      <w:pPr>
        <w:spacing w:after="0" w:line="240" w:lineRule="auto"/>
        <w:jc w:val="both"/>
        <w:rPr>
          <w:rFonts w:ascii="Arial" w:cs="Arial" w:eastAsia="Arial" w:hAnsi="Arial"/>
          <w:sz w:val="16"/>
          <w:szCs w:val="16"/>
        </w:rPr>
      </w:pPr>
      <w:bookmarkStart w:colFirst="0" w:colLast="0" w:name="_heading=h.4p9qkzh2cdr5" w:id="1"/>
      <w:bookmarkEnd w:id="1"/>
      <w:r w:rsidDel="00000000" w:rsidR="00000000" w:rsidRPr="00000000">
        <w:rPr>
          <w:rFonts w:ascii="Arial" w:cs="Arial" w:eastAsia="Arial" w:hAnsi="Arial"/>
          <w:sz w:val="16"/>
          <w:szCs w:val="16"/>
          <w:rtl w:val="0"/>
        </w:rPr>
        <w:t xml:space="preserve">Anexo: Un (01) folio Hoja de visita realizada el 16/04/2026</w:t>
      </w:r>
    </w:p>
    <w:p w:rsidR="00000000" w:rsidDel="00000000" w:rsidP="00000000" w:rsidRDefault="00000000" w:rsidRPr="00000000" w14:paraId="0000002B">
      <w:pPr>
        <w:spacing w:after="0" w:line="240" w:lineRule="auto"/>
        <w:jc w:val="both"/>
        <w:rPr>
          <w:rFonts w:ascii="Arial" w:cs="Arial" w:eastAsia="Arial" w:hAnsi="Arial"/>
          <w:sz w:val="24"/>
          <w:szCs w:val="2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5127047</wp:posOffset>
            </wp:positionH>
            <wp:positionV relativeFrom="paragraph">
              <wp:posOffset>180340</wp:posOffset>
            </wp:positionV>
            <wp:extent cx="884555" cy="229870"/>
            <wp:effectExtent b="0" l="0" r="0" t="0"/>
            <wp:wrapNone/>
            <wp:docPr id="1"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884555" cy="229870"/>
                    </a:xfrm>
                    <a:prstGeom prst="rect"/>
                    <a:ln/>
                  </pic:spPr>
                </pic:pic>
              </a:graphicData>
            </a:graphic>
          </wp:anchor>
        </w:drawing>
      </w:r>
    </w:p>
    <w:tbl>
      <w:tblPr>
        <w:tblStyle w:val="Table1"/>
        <w:tblW w:w="943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02"/>
        <w:gridCol w:w="2655"/>
        <w:gridCol w:w="4018"/>
        <w:gridCol w:w="1361"/>
        <w:tblGridChange w:id="0">
          <w:tblGrid>
            <w:gridCol w:w="1402"/>
            <w:gridCol w:w="2655"/>
            <w:gridCol w:w="4018"/>
            <w:gridCol w:w="1361"/>
          </w:tblGrid>
        </w:tblGridChange>
      </w:tblGrid>
      <w:tr>
        <w:trPr>
          <w:cantSplit w:val="0"/>
          <w:trHeight w:val="191" w:hRule="atLeast"/>
          <w:tblHeader w:val="0"/>
        </w:trPr>
        <w:tc>
          <w:tcPr>
            <w:shd w:fill="auto" w:val="clear"/>
            <w:vAlign w:val="center"/>
          </w:tcPr>
          <w:p w:rsidR="00000000" w:rsidDel="00000000" w:rsidP="00000000" w:rsidRDefault="00000000" w:rsidRPr="00000000" w14:paraId="0000002C">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Proyectó:</w:t>
            </w:r>
          </w:p>
        </w:tc>
        <w:tc>
          <w:tcPr>
            <w:shd w:fill="auto" w:val="clear"/>
            <w:vAlign w:val="center"/>
          </w:tcPr>
          <w:p w:rsidR="00000000" w:rsidDel="00000000" w:rsidP="00000000" w:rsidRDefault="00000000" w:rsidRPr="00000000" w14:paraId="0000002D">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Juan David Niño Lizcano</w:t>
            </w:r>
          </w:p>
        </w:tc>
        <w:tc>
          <w:tcPr>
            <w:shd w:fill="auto" w:val="clear"/>
            <w:vAlign w:val="center"/>
          </w:tcPr>
          <w:p w:rsidR="00000000" w:rsidDel="00000000" w:rsidP="00000000" w:rsidRDefault="00000000" w:rsidRPr="00000000" w14:paraId="0000002E">
            <w:pPr>
              <w:widowControl w:val="0"/>
              <w:spacing w:after="0" w:line="240" w:lineRule="auto"/>
              <w:ind w:left="108"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Ingeniero Químico, Contratista CPS-SEYCA</w:t>
            </w:r>
          </w:p>
        </w:tc>
        <w:tc>
          <w:tcPr>
            <w:shd w:fill="auto" w:val="clear"/>
            <w:vAlign w:val="center"/>
          </w:tcPr>
          <w:p w:rsidR="00000000" w:rsidDel="00000000" w:rsidP="00000000" w:rsidRDefault="00000000" w:rsidRPr="00000000" w14:paraId="0000002F">
            <w:pPr>
              <w:spacing w:after="0" w:line="240" w:lineRule="auto"/>
              <w:jc w:val="both"/>
              <w:rPr>
                <w:rFonts w:ascii="Arial" w:cs="Arial" w:eastAsia="Arial" w:hAnsi="Arial"/>
                <w:sz w:val="30"/>
                <w:szCs w:val="30"/>
              </w:rPr>
            </w:pPr>
            <w:r w:rsidDel="00000000" w:rsidR="00000000" w:rsidRPr="00000000">
              <w:rPr>
                <w:rtl w:val="0"/>
              </w:rPr>
            </w:r>
          </w:p>
        </w:tc>
      </w:tr>
      <w:tr>
        <w:trPr>
          <w:cantSplit w:val="0"/>
          <w:trHeight w:val="362" w:hRule="atLeast"/>
          <w:tblHeader w:val="0"/>
        </w:trPr>
        <w:tc>
          <w:tcPr>
            <w:shd w:fill="auto" w:val="clear"/>
            <w:vAlign w:val="center"/>
          </w:tcPr>
          <w:p w:rsidR="00000000" w:rsidDel="00000000" w:rsidP="00000000" w:rsidRDefault="00000000" w:rsidRPr="00000000" w14:paraId="00000030">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Revisó:</w:t>
            </w:r>
          </w:p>
        </w:tc>
        <w:tc>
          <w:tcPr>
            <w:shd w:fill="auto" w:val="clear"/>
            <w:vAlign w:val="center"/>
          </w:tcPr>
          <w:p w:rsidR="00000000" w:rsidDel="00000000" w:rsidP="00000000" w:rsidRDefault="00000000" w:rsidRPr="00000000" w14:paraId="00000031">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Adriana del Pilar Córdoba</w:t>
            </w:r>
          </w:p>
        </w:tc>
        <w:tc>
          <w:tcPr>
            <w:shd w:fill="auto" w:val="clear"/>
            <w:vAlign w:val="center"/>
          </w:tcPr>
          <w:p w:rsidR="00000000" w:rsidDel="00000000" w:rsidP="00000000" w:rsidRDefault="00000000" w:rsidRPr="00000000" w14:paraId="00000032">
            <w:pPr>
              <w:widowControl w:val="0"/>
              <w:spacing w:after="0" w:line="240" w:lineRule="auto"/>
              <w:ind w:left="108"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Profesional Universitario SEYCA </w:t>
            </w:r>
          </w:p>
        </w:tc>
        <w:tc>
          <w:tcPr>
            <w:shd w:fill="auto" w:val="clear"/>
            <w:vAlign w:val="center"/>
          </w:tcPr>
          <w:p w:rsidR="00000000" w:rsidDel="00000000" w:rsidP="00000000" w:rsidRDefault="00000000" w:rsidRPr="00000000" w14:paraId="00000033">
            <w:pPr>
              <w:spacing w:after="0" w:line="240" w:lineRule="auto"/>
              <w:rPr>
                <w:rFonts w:ascii="Arial" w:cs="Arial" w:eastAsia="Arial" w:hAnsi="Arial"/>
              </w:rPr>
            </w:pPr>
            <w:r w:rsidDel="00000000" w:rsidR="00000000" w:rsidRPr="00000000">
              <w:rPr>
                <w:rtl w:val="0"/>
              </w:rPr>
            </w:r>
          </w:p>
        </w:tc>
      </w:tr>
      <w:tr>
        <w:trPr>
          <w:cantSplit w:val="0"/>
          <w:trHeight w:val="191" w:hRule="atLeast"/>
          <w:tblHeader w:val="0"/>
        </w:trPr>
        <w:tc>
          <w:tcPr>
            <w:shd w:fill="auto" w:val="clear"/>
            <w:vAlign w:val="center"/>
          </w:tcPr>
          <w:p w:rsidR="00000000" w:rsidDel="00000000" w:rsidP="00000000" w:rsidRDefault="00000000" w:rsidRPr="00000000" w14:paraId="00000034">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Revisó:</w:t>
            </w:r>
          </w:p>
        </w:tc>
        <w:tc>
          <w:tcPr>
            <w:shd w:fill="auto" w:val="clear"/>
            <w:vAlign w:val="center"/>
          </w:tcPr>
          <w:p w:rsidR="00000000" w:rsidDel="00000000" w:rsidP="00000000" w:rsidRDefault="00000000" w:rsidRPr="00000000" w14:paraId="00000035">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Nelson Andrés Chang Pérez</w:t>
            </w:r>
          </w:p>
        </w:tc>
        <w:tc>
          <w:tcPr>
            <w:shd w:fill="auto" w:val="clear"/>
            <w:vAlign w:val="center"/>
          </w:tcPr>
          <w:p w:rsidR="00000000" w:rsidDel="00000000" w:rsidP="00000000" w:rsidRDefault="00000000" w:rsidRPr="00000000" w14:paraId="00000036">
            <w:pPr>
              <w:widowControl w:val="0"/>
              <w:spacing w:after="0" w:line="240" w:lineRule="auto"/>
              <w:ind w:left="108"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Coordinador Grupo Evaluación Ambiental para la Sostenibilidad</w:t>
            </w:r>
          </w:p>
        </w:tc>
        <w:tc>
          <w:tcPr>
            <w:shd w:fill="auto" w:val="clear"/>
            <w:vAlign w:val="center"/>
          </w:tcPr>
          <w:p w:rsidR="00000000" w:rsidDel="00000000" w:rsidP="00000000" w:rsidRDefault="00000000" w:rsidRPr="00000000" w14:paraId="00000037">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38">
            <w:pPr>
              <w:spacing w:after="0" w:line="240" w:lineRule="auto"/>
              <w:rPr>
                <w:rFonts w:ascii="Arial" w:cs="Arial" w:eastAsia="Arial" w:hAnsi="Arial"/>
              </w:rPr>
            </w:pPr>
            <w:r w:rsidDel="00000000" w:rsidR="00000000" w:rsidRPr="00000000">
              <w:rPr>
                <w:rtl w:val="0"/>
              </w:rPr>
            </w:r>
          </w:p>
        </w:tc>
      </w:tr>
      <w:tr>
        <w:trPr>
          <w:cantSplit w:val="0"/>
          <w:trHeight w:val="184" w:hRule="atLeast"/>
          <w:tblHeader w:val="0"/>
        </w:trPr>
        <w:tc>
          <w:tcPr>
            <w:shd w:fill="auto" w:val="clear"/>
            <w:vAlign w:val="center"/>
          </w:tcPr>
          <w:p w:rsidR="00000000" w:rsidDel="00000000" w:rsidP="00000000" w:rsidRDefault="00000000" w:rsidRPr="00000000" w14:paraId="00000039">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Dependencia responsable:</w:t>
            </w:r>
          </w:p>
        </w:tc>
        <w:tc>
          <w:tcPr>
            <w:gridSpan w:val="3"/>
            <w:shd w:fill="auto" w:val="clear"/>
            <w:vAlign w:val="center"/>
          </w:tcPr>
          <w:p w:rsidR="00000000" w:rsidDel="00000000" w:rsidP="00000000" w:rsidRDefault="00000000" w:rsidRPr="00000000" w14:paraId="0000003A">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Subdirección de Evaluación y Control Ambiental – SEYCA</w:t>
            </w:r>
          </w:p>
        </w:tc>
      </w:tr>
    </w:tbl>
    <w:p w:rsidR="00000000" w:rsidDel="00000000" w:rsidP="00000000" w:rsidRDefault="00000000" w:rsidRPr="00000000" w14:paraId="0000003D">
      <w:pPr>
        <w:spacing w:after="0" w:line="240" w:lineRule="auto"/>
        <w:jc w:val="center"/>
        <w:rPr>
          <w:rFonts w:ascii="Arial" w:cs="Arial" w:eastAsia="Arial" w:hAnsi="Arial"/>
          <w:sz w:val="28"/>
          <w:szCs w:val="28"/>
        </w:rPr>
      </w:pPr>
      <w:r w:rsidDel="00000000" w:rsidR="00000000" w:rsidRPr="00000000">
        <w:rPr>
          <w:rFonts w:ascii="Arial" w:cs="Arial" w:eastAsia="Arial" w:hAnsi="Arial"/>
          <w:sz w:val="28"/>
          <w:szCs w:val="28"/>
        </w:rPr>
        <w:drawing>
          <wp:inline distB="0" distT="0" distL="0" distR="0">
            <wp:extent cx="5025390" cy="7528560"/>
            <wp:effectExtent b="0" l="0" r="0" t="0"/>
            <wp:docPr id="3" name="image2.png"/>
            <a:graphic>
              <a:graphicData uri="http://schemas.openxmlformats.org/drawingml/2006/picture">
                <pic:pic>
                  <pic:nvPicPr>
                    <pic:cNvPr id="0" name="image2.png"/>
                    <pic:cNvPicPr preferRelativeResize="0"/>
                  </pic:nvPicPr>
                  <pic:blipFill>
                    <a:blip r:embed="rId11"/>
                    <a:srcRect b="8828" l="0" r="0" t="0"/>
                    <a:stretch>
                      <a:fillRect/>
                    </a:stretch>
                  </pic:blipFill>
                  <pic:spPr>
                    <a:xfrm>
                      <a:off x="0" y="0"/>
                      <a:ext cx="5025390" cy="7528560"/>
                    </a:xfrm>
                    <a:prstGeom prst="rect"/>
                    <a:ln/>
                  </pic:spPr>
                </pic:pic>
              </a:graphicData>
            </a:graphic>
          </wp:inline>
        </w:drawing>
      </w:r>
      <w:r w:rsidDel="00000000" w:rsidR="00000000" w:rsidRPr="00000000">
        <w:rPr>
          <w:rtl w:val="0"/>
        </w:rPr>
      </w:r>
    </w:p>
    <w:sectPr>
      <w:headerReference r:id="rId12" w:type="default"/>
      <w:footerReference r:id="rId13" w:type="default"/>
      <w:pgSz w:h="15840" w:w="12240" w:orient="portrait"/>
      <w:pgMar w:bottom="1418" w:top="1418" w:left="1418" w:right="1418" w:header="1588" w:footer="175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-1000106</wp:posOffset>
          </wp:positionH>
          <wp:positionV relativeFrom="paragraph">
            <wp:posOffset>47625</wp:posOffset>
          </wp:positionV>
          <wp:extent cx="7836942" cy="1313747"/>
          <wp:effectExtent b="0" l="0" r="0" t="0"/>
          <wp:wrapNone/>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836942" cy="1313747"/>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-890887</wp:posOffset>
          </wp:positionH>
          <wp:positionV relativeFrom="paragraph">
            <wp:posOffset>-1011537</wp:posOffset>
          </wp:positionV>
          <wp:extent cx="7711392" cy="1116000"/>
          <wp:effectExtent b="0" l="0" r="0" t="0"/>
          <wp:wrapNone/>
          <wp:docPr id="4" name="image3.jpg"/>
          <a:graphic>
            <a:graphicData uri="http://schemas.openxmlformats.org/drawingml/2006/picture">
              <pic:pic>
                <pic:nvPicPr>
                  <pic:cNvPr id="0" name="image3.jpg"/>
                  <pic:cNvPicPr preferRelativeResize="0"/>
                </pic:nvPicPr>
                <pic:blipFill>
                  <a:blip r:embed="rId1"/>
                  <a:srcRect b="0" l="0" r="0" t="0"/>
                  <a:stretch>
                    <a:fillRect/>
                  </a:stretch>
                </pic:blipFill>
                <pic:spPr>
                  <a:xfrm>
                    <a:off x="0" y="0"/>
                    <a:ext cx="7711392" cy="11160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4.pn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info@cdmb.gov.co"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francisco.cala@ecopetrol.com.co" TargetMode="External"/><Relationship Id="rId8" Type="http://schemas.openxmlformats.org/officeDocument/2006/relationships/hyperlink" Target="http://pcb.ideam.gov.co/pcb/#:~:text=Adscrito%20al%20Ministerio%20de%20Ambiente%20y%20Desarrollo%20Sostenible%20de%20Colombia."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4km/9VmCSBBYEIGA8gIrwSKCeg==">CgMxLjAyDmguYzE3ZnhzbjhmdHAzMg5oLjRwOXFremgyY2RyNTgAciExUlFVYTJwT2tZSTJreWFGdW5qQjlfVjJRY2Q0em8zTzM=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_DocHome">
    <vt:lpwstr>1500762691</vt:lpwstr>
  </property>
  <property fmtid="{D5CDD505-2E9C-101B-9397-08002B2CF9AE}" pid="3" name="ContentTypeId">
    <vt:lpwstr>0x010100E1A95D0868D11541A321B5EC8243FA44</vt:lpwstr>
  </property>
</Properties>
</file>